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96EA9" w14:textId="16381F0E" w:rsidR="00294713" w:rsidRDefault="00E439D1" w:rsidP="00DD2457">
      <w:pPr>
        <w:pStyle w:val="Title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Insertion</w:t>
      </w:r>
      <w:r w:rsidR="00186DD0">
        <w:rPr>
          <w:sz w:val="24"/>
          <w:szCs w:val="24"/>
          <w:lang w:val="en-GB"/>
        </w:rPr>
        <w:t xml:space="preserve"> of </w:t>
      </w:r>
      <w:r w:rsidR="00F31E93">
        <w:rPr>
          <w:sz w:val="24"/>
          <w:szCs w:val="24"/>
          <w:lang w:val="en-GB"/>
        </w:rPr>
        <w:t>central venous</w:t>
      </w:r>
      <w:r>
        <w:rPr>
          <w:sz w:val="24"/>
          <w:szCs w:val="24"/>
          <w:lang w:val="en-GB"/>
        </w:rPr>
        <w:t xml:space="preserve"> line</w:t>
      </w:r>
    </w:p>
    <w:p w14:paraId="219CFCC9" w14:textId="77777777" w:rsidR="00D67511" w:rsidRPr="005B599B" w:rsidRDefault="00D67511" w:rsidP="00DD2457">
      <w:pPr>
        <w:pStyle w:val="Title"/>
        <w:rPr>
          <w:sz w:val="10"/>
          <w:szCs w:val="10"/>
          <w:lang w:val="en-GB"/>
        </w:rPr>
      </w:pPr>
    </w:p>
    <w:p w14:paraId="669ACFE6" w14:textId="5D14C079" w:rsidR="0017606C" w:rsidRPr="005D5C27" w:rsidRDefault="0017606C" w:rsidP="00DD2457">
      <w:pPr>
        <w:pStyle w:val="Title"/>
        <w:rPr>
          <w:sz w:val="24"/>
          <w:szCs w:val="24"/>
          <w:lang w:val="en-GB"/>
        </w:rPr>
      </w:pPr>
      <w:r w:rsidRPr="005D5C27">
        <w:rPr>
          <w:sz w:val="24"/>
          <w:szCs w:val="24"/>
          <w:lang w:val="en-GB"/>
        </w:rPr>
        <w:t>A</w:t>
      </w:r>
      <w:r w:rsidR="00962446" w:rsidRPr="005D5C27">
        <w:rPr>
          <w:sz w:val="24"/>
          <w:szCs w:val="24"/>
          <w:lang w:val="en-GB"/>
        </w:rPr>
        <w:t xml:space="preserve">ssessment of competences for </w:t>
      </w:r>
      <w:r w:rsidR="00085463">
        <w:rPr>
          <w:sz w:val="24"/>
          <w:szCs w:val="24"/>
          <w:lang w:val="en-GB"/>
        </w:rPr>
        <w:t>A</w:t>
      </w:r>
      <w:r w:rsidR="005A10D9">
        <w:rPr>
          <w:sz w:val="24"/>
          <w:szCs w:val="24"/>
          <w:lang w:val="en-GB"/>
        </w:rPr>
        <w:t>N</w:t>
      </w:r>
      <w:r w:rsidR="00085463">
        <w:rPr>
          <w:sz w:val="24"/>
          <w:szCs w:val="24"/>
          <w:lang w:val="en-GB"/>
        </w:rPr>
        <w:t>P</w:t>
      </w:r>
      <w:r w:rsidR="00E439D1">
        <w:rPr>
          <w:sz w:val="24"/>
          <w:szCs w:val="24"/>
          <w:lang w:val="en-GB"/>
        </w:rPr>
        <w:t xml:space="preserve"> / ACP / SCP</w:t>
      </w:r>
    </w:p>
    <w:p w14:paraId="5C269002" w14:textId="77777777" w:rsidR="0017606C" w:rsidRPr="005D5C27" w:rsidRDefault="0017606C" w:rsidP="00CF303A">
      <w:pPr>
        <w:widowControl w:val="0"/>
        <w:autoSpaceDE w:val="0"/>
        <w:autoSpaceDN w:val="0"/>
        <w:adjustRightInd w:val="0"/>
        <w:rPr>
          <w:rFonts w:cs="Times New Roman"/>
          <w:bCs/>
          <w:u w:val="single"/>
        </w:rPr>
      </w:pPr>
    </w:p>
    <w:p w14:paraId="4E6F7451" w14:textId="27152C29" w:rsidR="0017606C" w:rsidRPr="005D5C27" w:rsidRDefault="00363F4A" w:rsidP="007940B2">
      <w:pPr>
        <w:widowControl w:val="0"/>
        <w:autoSpaceDE w:val="0"/>
        <w:autoSpaceDN w:val="0"/>
        <w:adjustRightInd w:val="0"/>
        <w:spacing w:after="120"/>
        <w:rPr>
          <w:b/>
          <w:bCs/>
        </w:rPr>
      </w:pPr>
      <w:r w:rsidRPr="005D5C27">
        <w:rPr>
          <w:b/>
          <w:bCs/>
        </w:rPr>
        <w:t>Name: _</w:t>
      </w:r>
      <w:r w:rsidR="0017606C" w:rsidRPr="005D5C27">
        <w:rPr>
          <w:b/>
          <w:bCs/>
        </w:rPr>
        <w:t>__________________________</w:t>
      </w:r>
    </w:p>
    <w:p w14:paraId="5972D3A1" w14:textId="77777777" w:rsidR="00841137" w:rsidRPr="005D5C27" w:rsidRDefault="00841137" w:rsidP="0084113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 w:rsidRPr="00D86E9C">
        <w:rPr>
          <w:b/>
          <w:bCs/>
          <w:sz w:val="16"/>
          <w:szCs w:val="16"/>
        </w:rPr>
        <w:t xml:space="preserve">Please note: </w:t>
      </w:r>
      <w:r>
        <w:rPr>
          <w:b/>
          <w:bCs/>
          <w:sz w:val="16"/>
          <w:szCs w:val="16"/>
        </w:rPr>
        <w:t>Practitioner</w:t>
      </w:r>
      <w:r w:rsidRPr="00D86E9C">
        <w:rPr>
          <w:b/>
          <w:bCs/>
          <w:sz w:val="16"/>
          <w:szCs w:val="16"/>
        </w:rPr>
        <w:t>s can add DOPS</w:t>
      </w:r>
      <w:r>
        <w:rPr>
          <w:b/>
          <w:bCs/>
          <w:sz w:val="16"/>
          <w:szCs w:val="16"/>
        </w:rPr>
        <w:t>,</w:t>
      </w:r>
      <w:r w:rsidRPr="00D86E9C">
        <w:rPr>
          <w:b/>
          <w:bCs/>
          <w:sz w:val="16"/>
          <w:szCs w:val="16"/>
        </w:rPr>
        <w:t xml:space="preserve"> PBAs </w:t>
      </w:r>
      <w:r>
        <w:rPr>
          <w:b/>
          <w:bCs/>
          <w:sz w:val="16"/>
          <w:szCs w:val="16"/>
        </w:rPr>
        <w:t xml:space="preserve">and </w:t>
      </w:r>
      <w:proofErr w:type="spellStart"/>
      <w:r>
        <w:rPr>
          <w:b/>
          <w:bCs/>
          <w:sz w:val="16"/>
          <w:szCs w:val="16"/>
        </w:rPr>
        <w:t>CEXs</w:t>
      </w:r>
      <w:proofErr w:type="spellEnd"/>
      <w:r>
        <w:rPr>
          <w:b/>
          <w:bCs/>
          <w:sz w:val="16"/>
          <w:szCs w:val="16"/>
        </w:rPr>
        <w:t xml:space="preserve"> </w:t>
      </w:r>
      <w:r w:rsidRPr="00D86E9C">
        <w:rPr>
          <w:b/>
          <w:bCs/>
          <w:sz w:val="16"/>
          <w:szCs w:val="16"/>
        </w:rPr>
        <w:t>as evidence.</w:t>
      </w:r>
    </w:p>
    <w:p w14:paraId="24CE2E3B" w14:textId="77777777" w:rsidR="0017606C" w:rsidRPr="000143D8" w:rsidRDefault="0017606C" w:rsidP="00DD2457">
      <w:pPr>
        <w:rPr>
          <w:rFonts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5245"/>
        <w:gridCol w:w="1277"/>
        <w:gridCol w:w="1277"/>
        <w:gridCol w:w="1278"/>
      </w:tblGrid>
      <w:tr w:rsidR="0017606C" w:rsidRPr="005D5C27" w14:paraId="1DF1E7C6" w14:textId="77777777" w:rsidTr="00294713">
        <w:trPr>
          <w:trHeight w:val="260"/>
        </w:trPr>
        <w:tc>
          <w:tcPr>
            <w:tcW w:w="5807" w:type="dxa"/>
            <w:gridSpan w:val="2"/>
          </w:tcPr>
          <w:p w14:paraId="14D04901" w14:textId="77777777" w:rsidR="0017606C" w:rsidRPr="005D5C27" w:rsidRDefault="0017606C" w:rsidP="005D5C27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58D6E5A" w14:textId="2644350D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  <w:u w:val="single"/>
              </w:rPr>
              <w:t>NOT</w:t>
            </w:r>
            <w:r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7940B2" w:rsidRPr="005D5C27">
              <w:rPr>
                <w:b/>
                <w:bCs/>
                <w:sz w:val="22"/>
                <w:szCs w:val="22"/>
              </w:rPr>
              <w:t>c</w:t>
            </w:r>
            <w:r w:rsidRPr="005D5C27">
              <w:rPr>
                <w:b/>
                <w:bCs/>
                <w:sz w:val="22"/>
                <w:szCs w:val="22"/>
              </w:rPr>
              <w:t>ompetent</w:t>
            </w:r>
          </w:p>
        </w:tc>
        <w:tc>
          <w:tcPr>
            <w:tcW w:w="1277" w:type="dxa"/>
          </w:tcPr>
          <w:p w14:paraId="6DCF3501" w14:textId="77777777" w:rsidR="0017606C" w:rsidRPr="005D5C27" w:rsidRDefault="0017606C" w:rsidP="005D5C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Competent</w:t>
            </w:r>
          </w:p>
        </w:tc>
        <w:tc>
          <w:tcPr>
            <w:tcW w:w="1278" w:type="dxa"/>
          </w:tcPr>
          <w:p w14:paraId="41315E0D" w14:textId="67917A28" w:rsidR="0017606C" w:rsidRPr="0053417C" w:rsidRDefault="0017606C" w:rsidP="005D5C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53417C">
              <w:rPr>
                <w:b/>
                <w:sz w:val="22"/>
                <w:szCs w:val="22"/>
              </w:rPr>
              <w:t xml:space="preserve">Signature </w:t>
            </w:r>
            <w:r w:rsidR="00CF303A" w:rsidRPr="0053417C">
              <w:rPr>
                <w:b/>
                <w:sz w:val="22"/>
                <w:szCs w:val="22"/>
              </w:rPr>
              <w:t>and</w:t>
            </w:r>
            <w:r w:rsidRPr="0053417C">
              <w:rPr>
                <w:b/>
                <w:sz w:val="22"/>
                <w:szCs w:val="22"/>
              </w:rPr>
              <w:t xml:space="preserve"> </w:t>
            </w:r>
            <w:r w:rsidR="00CF303A" w:rsidRPr="0053417C">
              <w:rPr>
                <w:b/>
                <w:sz w:val="22"/>
                <w:szCs w:val="22"/>
              </w:rPr>
              <w:t>d</w:t>
            </w:r>
            <w:r w:rsidRPr="0053417C">
              <w:rPr>
                <w:b/>
                <w:sz w:val="22"/>
                <w:szCs w:val="22"/>
              </w:rPr>
              <w:t>ate</w:t>
            </w:r>
          </w:p>
        </w:tc>
      </w:tr>
      <w:tr w:rsidR="0017606C" w:rsidRPr="005D5C27" w14:paraId="4AFA2120" w14:textId="77777777" w:rsidTr="00294713">
        <w:trPr>
          <w:trHeight w:val="329"/>
        </w:trPr>
        <w:tc>
          <w:tcPr>
            <w:tcW w:w="9639" w:type="dxa"/>
            <w:gridSpan w:val="5"/>
            <w:tcBorders>
              <w:top w:val="nil"/>
            </w:tcBorders>
            <w:shd w:val="pct20" w:color="auto" w:fill="auto"/>
          </w:tcPr>
          <w:p w14:paraId="432A5B37" w14:textId="338B4A65" w:rsidR="00186DD0" w:rsidRPr="000143D8" w:rsidRDefault="00E439D1" w:rsidP="00186DD0">
            <w:pPr>
              <w:pStyle w:val="BodyText2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Insertion</w:t>
            </w:r>
            <w:r w:rsidR="00186DD0">
              <w:rPr>
                <w:sz w:val="22"/>
                <w:szCs w:val="22"/>
                <w:lang w:val="en-GB"/>
              </w:rPr>
              <w:t xml:space="preserve"> of </w:t>
            </w:r>
            <w:r w:rsidR="00F31E93">
              <w:rPr>
                <w:sz w:val="22"/>
                <w:szCs w:val="22"/>
                <w:lang w:val="en-GB"/>
              </w:rPr>
              <w:t>central venous</w:t>
            </w:r>
            <w:r>
              <w:rPr>
                <w:sz w:val="22"/>
                <w:szCs w:val="22"/>
                <w:lang w:val="en-GB"/>
              </w:rPr>
              <w:t xml:space="preserve"> line</w:t>
            </w:r>
          </w:p>
        </w:tc>
      </w:tr>
      <w:tr w:rsidR="00047D16" w:rsidRPr="00841137" w14:paraId="064A36A3" w14:textId="77777777" w:rsidTr="00047D16">
        <w:tc>
          <w:tcPr>
            <w:tcW w:w="562" w:type="dxa"/>
          </w:tcPr>
          <w:p w14:paraId="78D5A1C9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E22A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245" w:type="dxa"/>
          </w:tcPr>
          <w:p w14:paraId="533E4A2B" w14:textId="77777777" w:rsidR="00186DD0" w:rsidRPr="00B877AC" w:rsidRDefault="00186DD0" w:rsidP="00186DD0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877AC">
              <w:rPr>
                <w:b w:val="0"/>
                <w:sz w:val="22"/>
                <w:szCs w:val="22"/>
                <w:lang w:val="en-GB"/>
              </w:rPr>
              <w:t>Indications</w:t>
            </w:r>
          </w:p>
          <w:p w14:paraId="3FFAD23B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On induction</w:t>
            </w:r>
          </w:p>
          <w:p w14:paraId="145FF7C1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Access</w:t>
            </w:r>
          </w:p>
          <w:p w14:paraId="40B0642E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 xml:space="preserve">For </w:t>
            </w:r>
            <w:proofErr w:type="spellStart"/>
            <w:r w:rsidRPr="00EB3D3E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  <w:r w:rsidRPr="00EB3D3E">
              <w:rPr>
                <w:b w:val="0"/>
                <w:sz w:val="22"/>
                <w:szCs w:val="22"/>
                <w:lang w:val="en-GB"/>
              </w:rPr>
              <w:t xml:space="preserve"> monitoring</w:t>
            </w:r>
          </w:p>
          <w:p w14:paraId="4A0013F9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Fluid management</w:t>
            </w:r>
          </w:p>
          <w:p w14:paraId="000B1A71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Delivery of medication</w:t>
            </w:r>
          </w:p>
          <w:p w14:paraId="45021281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Inotropic support</w:t>
            </w:r>
          </w:p>
          <w:p w14:paraId="34F65584" w14:textId="1300927E" w:rsidR="004B532B" w:rsidRPr="004B532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Nutrition</w:t>
            </w:r>
          </w:p>
        </w:tc>
        <w:tc>
          <w:tcPr>
            <w:tcW w:w="1277" w:type="dxa"/>
          </w:tcPr>
          <w:p w14:paraId="693B84AA" w14:textId="77777777" w:rsidR="0017606C" w:rsidRPr="000E22A6" w:rsidRDefault="0017606C" w:rsidP="003353A4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B5D5430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737487" w14:textId="77777777" w:rsidR="0017606C" w:rsidRPr="000E22A6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51FEEDD4" w14:textId="77777777" w:rsidTr="00047D16">
        <w:tc>
          <w:tcPr>
            <w:tcW w:w="562" w:type="dxa"/>
          </w:tcPr>
          <w:p w14:paraId="681ECBA7" w14:textId="294EFBDC" w:rsidR="00CA54F2" w:rsidRPr="002538DC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538D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245" w:type="dxa"/>
          </w:tcPr>
          <w:p w14:paraId="0D73F2FF" w14:textId="1800B967" w:rsidR="00CA54F2" w:rsidRPr="00CA54F2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Contraindications</w:t>
            </w:r>
          </w:p>
          <w:p w14:paraId="343DE9B1" w14:textId="77777777" w:rsidR="00CA54F2" w:rsidRPr="00CA54F2" w:rsidRDefault="00CA54F2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CA54F2">
              <w:rPr>
                <w:b w:val="0"/>
                <w:sz w:val="22"/>
                <w:szCs w:val="22"/>
                <w:lang w:val="en-GB"/>
              </w:rPr>
              <w:t>Patient declines consent</w:t>
            </w:r>
          </w:p>
          <w:p w14:paraId="289A4F66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Uncooperative patient</w:t>
            </w:r>
          </w:p>
          <w:p w14:paraId="42E4BFDD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Pulmonary embolism</w:t>
            </w:r>
          </w:p>
          <w:p w14:paraId="5CA169E2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Skin infection</w:t>
            </w:r>
          </w:p>
          <w:p w14:paraId="3767F2D2" w14:textId="77777777" w:rsidR="00EB3D3E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Technically challenging</w:t>
            </w:r>
          </w:p>
          <w:p w14:paraId="0077A79A" w14:textId="599F327A" w:rsidR="00CA54F2" w:rsidRPr="00EB3D3E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B3D3E">
              <w:rPr>
                <w:b w:val="0"/>
                <w:sz w:val="22"/>
                <w:szCs w:val="22"/>
                <w:lang w:val="en-GB"/>
              </w:rPr>
              <w:t>Pneumothorax or haemothorax on the contralateral side or only one functioning lung</w:t>
            </w:r>
          </w:p>
        </w:tc>
        <w:tc>
          <w:tcPr>
            <w:tcW w:w="1277" w:type="dxa"/>
          </w:tcPr>
          <w:p w14:paraId="096581EF" w14:textId="77777777" w:rsidR="00CA54F2" w:rsidRPr="00E70C03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16367024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178CA8A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4EB81341" w14:textId="77777777" w:rsidTr="005F6460">
        <w:tc>
          <w:tcPr>
            <w:tcW w:w="562" w:type="dxa"/>
          </w:tcPr>
          <w:p w14:paraId="579F2C50" w14:textId="77777777" w:rsidR="00CA54F2" w:rsidRPr="00B7695B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45" w:type="dxa"/>
          </w:tcPr>
          <w:p w14:paraId="1D7D2871" w14:textId="4FB50377" w:rsidR="00CA54F2" w:rsidRPr="00B7695B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Equipment</w:t>
            </w:r>
          </w:p>
          <w:p w14:paraId="1B728A35" w14:textId="66F6B815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Central venous catheter</w:t>
            </w:r>
          </w:p>
          <w:p w14:paraId="142CD02C" w14:textId="07B9336E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Sterile gloves</w:t>
            </w:r>
          </w:p>
          <w:p w14:paraId="163AF550" w14:textId="279484D9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Antiseptic solution with skin swab</w:t>
            </w:r>
          </w:p>
          <w:p w14:paraId="6EE1C2EB" w14:textId="40C38365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Sterile drapes or towels</w:t>
            </w:r>
          </w:p>
          <w:p w14:paraId="65FFAECD" w14:textId="77777777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Sterile gown</w:t>
            </w:r>
          </w:p>
          <w:p w14:paraId="1CE1CB03" w14:textId="64BCF9AE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 xml:space="preserve">Sterile saline flush, </w:t>
            </w:r>
            <w:proofErr w:type="gramStart"/>
            <w:r w:rsidRPr="00B7695B">
              <w:rPr>
                <w:b w:val="0"/>
                <w:sz w:val="22"/>
                <w:szCs w:val="22"/>
                <w:lang w:val="en-GB"/>
              </w:rPr>
              <w:t>approx..</w:t>
            </w:r>
            <w:proofErr w:type="gramEnd"/>
            <w:r w:rsidRPr="00B7695B">
              <w:rPr>
                <w:b w:val="0"/>
                <w:sz w:val="22"/>
                <w:szCs w:val="22"/>
                <w:lang w:val="en-GB"/>
              </w:rPr>
              <w:t xml:space="preserve"> 30 mL</w:t>
            </w:r>
          </w:p>
          <w:p w14:paraId="1D35F215" w14:textId="28C3EA8B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Lidocaine 1% (obtain additional vial of lidocaine 1% if needed)</w:t>
            </w:r>
          </w:p>
          <w:p w14:paraId="3994C7C0" w14:textId="4062C8F3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Gauze</w:t>
            </w:r>
          </w:p>
          <w:p w14:paraId="1BBFEC77" w14:textId="3CAFD3F2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Dressing</w:t>
            </w:r>
          </w:p>
          <w:p w14:paraId="2CDF514C" w14:textId="7C7C03EF" w:rsidR="00EB3D3E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Scalpel, no. 11</w:t>
            </w:r>
          </w:p>
          <w:p w14:paraId="5BCB4FBB" w14:textId="6A98955F" w:rsidR="00CA54F2" w:rsidRPr="00B7695B" w:rsidRDefault="00EB3D3E" w:rsidP="00EB3D3E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Portable ultrasound machine</w:t>
            </w:r>
          </w:p>
        </w:tc>
        <w:tc>
          <w:tcPr>
            <w:tcW w:w="1277" w:type="dxa"/>
          </w:tcPr>
          <w:p w14:paraId="21BEA821" w14:textId="77777777" w:rsidR="00CA54F2" w:rsidRPr="00E70C03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2A44C2BF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AEFDB2D" w14:textId="77777777" w:rsidR="00CA54F2" w:rsidRPr="00E70C03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0C1FB345" w14:textId="77777777" w:rsidTr="005F6460">
        <w:tc>
          <w:tcPr>
            <w:tcW w:w="562" w:type="dxa"/>
          </w:tcPr>
          <w:p w14:paraId="24F92AC2" w14:textId="5DA8299A" w:rsidR="00CA54F2" w:rsidRPr="00B7695B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7695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45" w:type="dxa"/>
          </w:tcPr>
          <w:p w14:paraId="2A8519B7" w14:textId="77777777" w:rsidR="00CA54F2" w:rsidRPr="00B7695B" w:rsidRDefault="00CA54F2" w:rsidP="00CA54F2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Describe anatomy</w:t>
            </w:r>
          </w:p>
          <w:p w14:paraId="46F3F7EB" w14:textId="1492B59F" w:rsidR="00B7695B" w:rsidRPr="00B7695B" w:rsidRDefault="00B7695B" w:rsidP="00B7695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External and internal jugular</w:t>
            </w:r>
          </w:p>
          <w:p w14:paraId="187ACBFD" w14:textId="5B4E43F7" w:rsidR="00B7695B" w:rsidRPr="00B7695B" w:rsidRDefault="00B7695B" w:rsidP="00B7695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Clavicle</w:t>
            </w:r>
          </w:p>
          <w:p w14:paraId="39F065AD" w14:textId="77777777" w:rsidR="00B7695B" w:rsidRPr="00B7695B" w:rsidRDefault="00B7695B" w:rsidP="00B7695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Sternum</w:t>
            </w:r>
          </w:p>
          <w:p w14:paraId="56798399" w14:textId="5A75BA00" w:rsidR="00B7695B" w:rsidRPr="00B7695B" w:rsidRDefault="00B7695B" w:rsidP="00B7695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Head of sternal mastoid</w:t>
            </w:r>
          </w:p>
          <w:p w14:paraId="1AEBAB7F" w14:textId="0EBA780D" w:rsidR="00CA54F2" w:rsidRPr="00B7695B" w:rsidRDefault="00B7695B" w:rsidP="00B7695B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B7695B">
              <w:rPr>
                <w:b w:val="0"/>
                <w:sz w:val="22"/>
                <w:szCs w:val="22"/>
                <w:lang w:val="en-GB"/>
              </w:rPr>
              <w:t>Deltopectoral groove</w:t>
            </w:r>
          </w:p>
        </w:tc>
        <w:tc>
          <w:tcPr>
            <w:tcW w:w="1277" w:type="dxa"/>
          </w:tcPr>
          <w:p w14:paraId="5E1EF044" w14:textId="77777777" w:rsidR="00CA54F2" w:rsidRPr="00B36C8F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63F44554" w14:textId="77777777" w:rsidR="00CA54F2" w:rsidRPr="00B36C8F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D14A58C" w14:textId="77777777" w:rsidR="00CA54F2" w:rsidRPr="00B36C8F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CA54F2" w:rsidRPr="00841137" w14:paraId="405DED47" w14:textId="77777777" w:rsidTr="005F6460">
        <w:tc>
          <w:tcPr>
            <w:tcW w:w="562" w:type="dxa"/>
          </w:tcPr>
          <w:p w14:paraId="7E313490" w14:textId="12FDF755" w:rsidR="00CA54F2" w:rsidRPr="00E525A4" w:rsidRDefault="00CA54F2" w:rsidP="00CA54F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525A4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245" w:type="dxa"/>
          </w:tcPr>
          <w:p w14:paraId="7E5C03FA" w14:textId="77777777" w:rsidR="00CA54F2" w:rsidRPr="00E525A4" w:rsidRDefault="00CA54F2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Insertion</w:t>
            </w:r>
          </w:p>
          <w:p w14:paraId="2B118D20" w14:textId="77777777" w:rsidR="00CA54F2" w:rsidRPr="00E525A4" w:rsidRDefault="00CA54F2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Consent</w:t>
            </w:r>
          </w:p>
          <w:p w14:paraId="4099655A" w14:textId="706ADEE5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Trendelenburg position (feet up, head down to increase vein size)</w:t>
            </w:r>
          </w:p>
          <w:p w14:paraId="57D1F866" w14:textId="77777777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Clean area</w:t>
            </w:r>
          </w:p>
          <w:p w14:paraId="2D333E91" w14:textId="77777777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Drape</w:t>
            </w:r>
          </w:p>
          <w:p w14:paraId="21F40E87" w14:textId="4E0503F9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Local anaesthetic if patient awake</w:t>
            </w:r>
          </w:p>
          <w:p w14:paraId="2ADE2052" w14:textId="213DCC13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lastRenderedPageBreak/>
              <w:t>ID landmarks – clavicle, deltopectoral groove, sternal notch</w:t>
            </w:r>
          </w:p>
          <w:p w14:paraId="268AA403" w14:textId="4BBA68F3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 xml:space="preserve">Internal jugular approach: Explain </w:t>
            </w:r>
            <w:proofErr w:type="spellStart"/>
            <w:r w:rsidRPr="00E525A4">
              <w:rPr>
                <w:b w:val="0"/>
                <w:sz w:val="22"/>
                <w:szCs w:val="22"/>
                <w:lang w:val="en-GB"/>
              </w:rPr>
              <w:t>IJV</w:t>
            </w:r>
            <w:proofErr w:type="spellEnd"/>
            <w:r w:rsidRPr="00E525A4">
              <w:rPr>
                <w:b w:val="0"/>
                <w:sz w:val="22"/>
                <w:szCs w:val="22"/>
                <w:lang w:val="en-GB"/>
              </w:rPr>
              <w:t xml:space="preserve"> located at the apex of the triangle formed by the sternocleidomastoid muscle and the clavicle. The </w:t>
            </w:r>
            <w:proofErr w:type="spellStart"/>
            <w:r w:rsidRPr="00E525A4">
              <w:rPr>
                <w:b w:val="0"/>
                <w:sz w:val="22"/>
                <w:szCs w:val="22"/>
                <w:lang w:val="en-GB"/>
              </w:rPr>
              <w:t>SCV</w:t>
            </w:r>
            <w:proofErr w:type="spellEnd"/>
            <w:r w:rsidRPr="00E525A4">
              <w:rPr>
                <w:b w:val="0"/>
                <w:sz w:val="22"/>
                <w:szCs w:val="22"/>
                <w:lang w:val="en-GB"/>
              </w:rPr>
              <w:t xml:space="preserve"> crosses under the clavicle just medial to the midclavicular point. Use USS to identify the anatomy.</w:t>
            </w:r>
          </w:p>
          <w:p w14:paraId="2FC2BFBD" w14:textId="49590B84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Advance the needle perpendicular along the inferior lateral clavicle</w:t>
            </w:r>
          </w:p>
          <w:p w14:paraId="5D42756C" w14:textId="77777777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One fingerbreadth lateral to the angle of the clavicle</w:t>
            </w:r>
          </w:p>
          <w:p w14:paraId="599FA02D" w14:textId="2F2A876B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Advance needle, under ultrasound while applying negative pressure to the syringe until a flash of blood is visualised</w:t>
            </w:r>
          </w:p>
          <w:p w14:paraId="5BD0C66C" w14:textId="641EDDD9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Seldinger technique (guidewire through the needle, which is then withdrawn to leave the guidewire only)</w:t>
            </w:r>
          </w:p>
          <w:p w14:paraId="73590289" w14:textId="36CA48F2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Insert the catheter, secure/suture and apply dressing</w:t>
            </w:r>
          </w:p>
          <w:p w14:paraId="36EAB9A6" w14:textId="06CFE89A" w:rsidR="00CA54F2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Chest radiograph to confirm position and exclude pneumothorax</w:t>
            </w:r>
          </w:p>
        </w:tc>
        <w:tc>
          <w:tcPr>
            <w:tcW w:w="1277" w:type="dxa"/>
          </w:tcPr>
          <w:p w14:paraId="65E0E879" w14:textId="77777777" w:rsidR="00CA54F2" w:rsidRPr="003A62E9" w:rsidRDefault="00CA54F2" w:rsidP="00CA54F2">
            <w:pPr>
              <w:pStyle w:val="BodyText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</w:tcPr>
          <w:p w14:paraId="00435BA1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31ED1A8" w14:textId="77777777" w:rsidR="00CA54F2" w:rsidRPr="003A62E9" w:rsidRDefault="00CA54F2" w:rsidP="00CA54F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E525A4" w:rsidRPr="00841137" w14:paraId="4FE16F7F" w14:textId="77777777" w:rsidTr="00047D16">
        <w:tc>
          <w:tcPr>
            <w:tcW w:w="562" w:type="dxa"/>
          </w:tcPr>
          <w:p w14:paraId="0E3693C0" w14:textId="6CD986CC" w:rsidR="00E525A4" w:rsidRPr="001858E8" w:rsidRDefault="00E525A4" w:rsidP="00E525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858E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245" w:type="dxa"/>
          </w:tcPr>
          <w:p w14:paraId="72BC0828" w14:textId="77777777" w:rsidR="00E525A4" w:rsidRP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Confirmation of correct line positions;</w:t>
            </w:r>
          </w:p>
          <w:p w14:paraId="3291D38E" w14:textId="77777777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Blood on aspiration</w:t>
            </w:r>
          </w:p>
          <w:p w14:paraId="1F6DAD27" w14:textId="0BC5C256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 xml:space="preserve">CXR 3rd </w:t>
            </w:r>
            <w:r>
              <w:rPr>
                <w:b w:val="0"/>
                <w:sz w:val="22"/>
                <w:szCs w:val="22"/>
                <w:lang w:val="en-GB"/>
              </w:rPr>
              <w:t>–</w:t>
            </w:r>
            <w:r w:rsidRPr="00E525A4">
              <w:rPr>
                <w:b w:val="0"/>
                <w:sz w:val="22"/>
                <w:szCs w:val="22"/>
                <w:lang w:val="en-GB"/>
              </w:rPr>
              <w:t xml:space="preserve"> 4th ICS</w:t>
            </w:r>
          </w:p>
          <w:p w14:paraId="5ECEEA44" w14:textId="6D4A6633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proofErr w:type="spellStart"/>
            <w:r w:rsidRPr="00E525A4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  <w:r w:rsidRPr="00E525A4">
              <w:rPr>
                <w:b w:val="0"/>
                <w:sz w:val="22"/>
                <w:szCs w:val="22"/>
                <w:lang w:val="en-GB"/>
              </w:rPr>
              <w:t xml:space="preserve"> reading</w:t>
            </w:r>
          </w:p>
        </w:tc>
        <w:tc>
          <w:tcPr>
            <w:tcW w:w="1277" w:type="dxa"/>
          </w:tcPr>
          <w:p w14:paraId="42FE116A" w14:textId="77777777" w:rsidR="00E525A4" w:rsidRPr="000E22A6" w:rsidRDefault="00E525A4" w:rsidP="00E525A4">
            <w:pPr>
              <w:pStyle w:val="BodyText2"/>
              <w:rPr>
                <w:rFonts w:cs="Times New Roman"/>
                <w:sz w:val="22"/>
                <w:szCs w:val="22"/>
                <w:highlight w:val="red"/>
                <w:lang w:val="en-GB"/>
              </w:rPr>
            </w:pPr>
          </w:p>
        </w:tc>
        <w:tc>
          <w:tcPr>
            <w:tcW w:w="1277" w:type="dxa"/>
          </w:tcPr>
          <w:p w14:paraId="27EED9C3" w14:textId="77777777" w:rsidR="00E525A4" w:rsidRPr="000E22A6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  <w:tc>
          <w:tcPr>
            <w:tcW w:w="1278" w:type="dxa"/>
          </w:tcPr>
          <w:p w14:paraId="1124E7E8" w14:textId="77777777" w:rsidR="00E525A4" w:rsidRPr="000E22A6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highlight w:val="red"/>
              </w:rPr>
            </w:pPr>
          </w:p>
        </w:tc>
      </w:tr>
      <w:tr w:rsidR="00E525A4" w:rsidRPr="005D5C27" w14:paraId="44479CEA" w14:textId="77777777" w:rsidTr="007D70D1">
        <w:trPr>
          <w:trHeight w:val="21"/>
        </w:trPr>
        <w:tc>
          <w:tcPr>
            <w:tcW w:w="562" w:type="dxa"/>
          </w:tcPr>
          <w:p w14:paraId="17793B64" w14:textId="63D8A96A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245" w:type="dxa"/>
          </w:tcPr>
          <w:p w14:paraId="553C43EC" w14:textId="77777777" w:rsidR="00E525A4" w:rsidRP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Measurement</w:t>
            </w:r>
          </w:p>
          <w:p w14:paraId="04069060" w14:textId="520321D9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 xml:space="preserve">Normal </w:t>
            </w:r>
            <w:r>
              <w:rPr>
                <w:b w:val="0"/>
                <w:sz w:val="22"/>
                <w:szCs w:val="22"/>
                <w:lang w:val="en-GB"/>
              </w:rPr>
              <w:t>and</w:t>
            </w:r>
            <w:r w:rsidRPr="00E525A4">
              <w:rPr>
                <w:b w:val="0"/>
                <w:sz w:val="22"/>
                <w:szCs w:val="22"/>
                <w:lang w:val="en-GB"/>
              </w:rPr>
              <w:t xml:space="preserve"> abnormal readings</w:t>
            </w:r>
          </w:p>
          <w:p w14:paraId="20E83117" w14:textId="235827AE" w:rsidR="00E525A4" w:rsidRPr="00E525A4" w:rsidRDefault="00E525A4" w:rsidP="00E525A4">
            <w:pPr>
              <w:pStyle w:val="BodyText2"/>
              <w:numPr>
                <w:ilvl w:val="0"/>
                <w:numId w:val="13"/>
              </w:numPr>
              <w:tabs>
                <w:tab w:val="clear" w:pos="720"/>
              </w:tabs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Significance hypovol</w:t>
            </w:r>
            <w:r>
              <w:rPr>
                <w:b w:val="0"/>
                <w:sz w:val="22"/>
                <w:szCs w:val="22"/>
                <w:lang w:val="en-GB"/>
              </w:rPr>
              <w:t>a</w:t>
            </w:r>
            <w:r w:rsidRPr="00E525A4">
              <w:rPr>
                <w:b w:val="0"/>
                <w:sz w:val="22"/>
                <w:szCs w:val="22"/>
                <w:lang w:val="en-GB"/>
              </w:rPr>
              <w:t>emia, SVC obstruction, raised interthoracic pressure, reduced intrathoracic pressure</w:t>
            </w:r>
          </w:p>
        </w:tc>
        <w:tc>
          <w:tcPr>
            <w:tcW w:w="1277" w:type="dxa"/>
          </w:tcPr>
          <w:p w14:paraId="06AFF6F5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7A1BFF1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34D371A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E525A4" w:rsidRPr="005D5C27" w14:paraId="479E1AEA" w14:textId="77777777" w:rsidTr="007D70D1">
        <w:trPr>
          <w:trHeight w:val="21"/>
        </w:trPr>
        <w:tc>
          <w:tcPr>
            <w:tcW w:w="562" w:type="dxa"/>
          </w:tcPr>
          <w:p w14:paraId="100C23B7" w14:textId="66CD561A" w:rsidR="00E525A4" w:rsidRDefault="00E525A4" w:rsidP="00E525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245" w:type="dxa"/>
          </w:tcPr>
          <w:p w14:paraId="6B83F2AA" w14:textId="77777777" w:rsidR="00E525A4" w:rsidRP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Complications</w:t>
            </w:r>
          </w:p>
          <w:p w14:paraId="40016157" w14:textId="27CDDCAC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Malposition of the catheter</w:t>
            </w:r>
          </w:p>
          <w:p w14:paraId="10000A92" w14:textId="2B798AA3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Air emboli</w:t>
            </w:r>
          </w:p>
          <w:p w14:paraId="6CA22CD9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Haematoma</w:t>
            </w:r>
          </w:p>
          <w:p w14:paraId="249F684F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Catheter embolism</w:t>
            </w:r>
          </w:p>
          <w:p w14:paraId="127172B2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Arterial puncture</w:t>
            </w:r>
          </w:p>
          <w:p w14:paraId="2549E1E5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Thrombosis</w:t>
            </w:r>
          </w:p>
          <w:p w14:paraId="1E6BCFC2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Pneumot</w:t>
            </w:r>
            <w:bookmarkStart w:id="0" w:name="_GoBack"/>
            <w:bookmarkEnd w:id="0"/>
            <w:r w:rsidRPr="00E525A4">
              <w:rPr>
                <w:b w:val="0"/>
                <w:sz w:val="22"/>
                <w:szCs w:val="22"/>
                <w:lang w:val="en-GB"/>
              </w:rPr>
              <w:t>horax</w:t>
            </w:r>
          </w:p>
          <w:p w14:paraId="290DF67B" w14:textId="70C85831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Haemothorax</w:t>
            </w:r>
          </w:p>
          <w:p w14:paraId="17B59E95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Haemorrhage</w:t>
            </w:r>
          </w:p>
          <w:p w14:paraId="2D918210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Cardiac tamponade</w:t>
            </w:r>
          </w:p>
          <w:p w14:paraId="423761AD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Sepsis</w:t>
            </w:r>
          </w:p>
          <w:p w14:paraId="3CC2DC47" w14:textId="1A6D7F1A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Cardiac arrhythmias</w:t>
            </w:r>
          </w:p>
        </w:tc>
        <w:tc>
          <w:tcPr>
            <w:tcW w:w="1277" w:type="dxa"/>
          </w:tcPr>
          <w:p w14:paraId="1A895D7F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22D4927A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500414C8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E525A4" w:rsidRPr="005D5C27" w14:paraId="2C5C2A3E" w14:textId="77777777" w:rsidTr="007D70D1">
        <w:trPr>
          <w:trHeight w:val="21"/>
        </w:trPr>
        <w:tc>
          <w:tcPr>
            <w:tcW w:w="562" w:type="dxa"/>
          </w:tcPr>
          <w:p w14:paraId="4C96FD86" w14:textId="6E6D0B85" w:rsidR="00E525A4" w:rsidRDefault="00E525A4" w:rsidP="00E525A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245" w:type="dxa"/>
          </w:tcPr>
          <w:p w14:paraId="718DD2F9" w14:textId="77F5BDD5" w:rsidR="00E525A4" w:rsidRP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 xml:space="preserve">Causes of raised </w:t>
            </w:r>
            <w:proofErr w:type="spellStart"/>
            <w:r w:rsidRPr="00E525A4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</w:p>
          <w:p w14:paraId="68E39AF5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Increased intrathoracic pressure</w:t>
            </w:r>
          </w:p>
          <w:p w14:paraId="7EBC969F" w14:textId="09C5D660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Impaired cardiac function (failure, tamponade, only useful for information regarding the right side of the heart)</w:t>
            </w:r>
          </w:p>
          <w:p w14:paraId="23EB4800" w14:textId="183DF71A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Hypervolaemia</w:t>
            </w:r>
          </w:p>
          <w:p w14:paraId="1435F3C1" w14:textId="5D57A013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Superior vena cava obstruction</w:t>
            </w:r>
          </w:p>
          <w:p w14:paraId="05A4E122" w14:textId="465FD0B3" w:rsid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  <w:p w14:paraId="64D65059" w14:textId="77777777" w:rsidR="00B74ABA" w:rsidRPr="00E525A4" w:rsidRDefault="00B74ABA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</w:p>
          <w:p w14:paraId="74D4FF16" w14:textId="0C1054AA" w:rsidR="00E525A4" w:rsidRPr="00E525A4" w:rsidRDefault="00E525A4" w:rsidP="00E525A4">
            <w:pPr>
              <w:pStyle w:val="BodyText2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lastRenderedPageBreak/>
              <w:t xml:space="preserve">Causes of decreased </w:t>
            </w:r>
            <w:proofErr w:type="spellStart"/>
            <w:r w:rsidRPr="00E525A4">
              <w:rPr>
                <w:b w:val="0"/>
                <w:sz w:val="22"/>
                <w:szCs w:val="22"/>
                <w:lang w:val="en-GB"/>
              </w:rPr>
              <w:t>CVP</w:t>
            </w:r>
            <w:proofErr w:type="spellEnd"/>
          </w:p>
          <w:p w14:paraId="2A4AF63D" w14:textId="77777777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Hypovolaemia</w:t>
            </w:r>
          </w:p>
          <w:p w14:paraId="5788CB87" w14:textId="59A2E276" w:rsidR="00E525A4" w:rsidRPr="00E525A4" w:rsidRDefault="00E525A4" w:rsidP="00E525A4">
            <w:pPr>
              <w:pStyle w:val="BodyText2"/>
              <w:numPr>
                <w:ilvl w:val="0"/>
                <w:numId w:val="36"/>
              </w:numPr>
              <w:ind w:left="357" w:hanging="357"/>
              <w:rPr>
                <w:b w:val="0"/>
                <w:sz w:val="22"/>
                <w:szCs w:val="22"/>
                <w:lang w:val="en-GB"/>
              </w:rPr>
            </w:pPr>
            <w:r w:rsidRPr="00E525A4">
              <w:rPr>
                <w:b w:val="0"/>
                <w:sz w:val="22"/>
                <w:szCs w:val="22"/>
                <w:lang w:val="en-GB"/>
              </w:rPr>
              <w:t>Reduced intrathoracic pressure (e.g. inspiration)</w:t>
            </w:r>
          </w:p>
        </w:tc>
        <w:tc>
          <w:tcPr>
            <w:tcW w:w="1277" w:type="dxa"/>
          </w:tcPr>
          <w:p w14:paraId="35F4EFAE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14:paraId="109BC6CC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14:paraId="432638C1" w14:textId="77777777" w:rsidR="00E525A4" w:rsidRPr="003A62E9" w:rsidRDefault="00E525A4" w:rsidP="00E525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17606C" w:rsidRPr="00841137" w14:paraId="2743DEA7" w14:textId="77777777" w:rsidTr="00294713">
        <w:tc>
          <w:tcPr>
            <w:tcW w:w="9639" w:type="dxa"/>
            <w:gridSpan w:val="5"/>
            <w:shd w:val="pct20" w:color="auto" w:fill="auto"/>
          </w:tcPr>
          <w:p w14:paraId="7F1D8DDC" w14:textId="77777777" w:rsidR="0019078A" w:rsidRDefault="00B55040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4113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6FCB">
              <w:rPr>
                <w:b/>
                <w:bCs/>
                <w:sz w:val="22"/>
                <w:szCs w:val="22"/>
              </w:rPr>
              <w:t>c</w:t>
            </w:r>
            <w:r w:rsidRPr="005D6FCB">
              <w:rPr>
                <w:b/>
                <w:bCs/>
                <w:sz w:val="22"/>
                <w:szCs w:val="22"/>
              </w:rPr>
              <w:t>omments</w:t>
            </w:r>
            <w:r w:rsidR="00D67511">
              <w:rPr>
                <w:bCs/>
                <w:sz w:val="22"/>
                <w:szCs w:val="22"/>
              </w:rPr>
              <w:t xml:space="preserve"> – </w:t>
            </w:r>
            <w:r w:rsidR="00E439D1" w:rsidRPr="00E439D1">
              <w:rPr>
                <w:bCs/>
                <w:sz w:val="22"/>
                <w:szCs w:val="22"/>
              </w:rPr>
              <w:t xml:space="preserve">Describes the indication in relation to clinical findings/indication, the </w:t>
            </w:r>
            <w:proofErr w:type="spellStart"/>
            <w:r w:rsidR="00E439D1" w:rsidRPr="00E439D1">
              <w:rPr>
                <w:bCs/>
                <w:sz w:val="22"/>
                <w:szCs w:val="22"/>
              </w:rPr>
              <w:t>A&amp;P</w:t>
            </w:r>
            <w:proofErr w:type="spellEnd"/>
            <w:r w:rsidR="00E439D1" w:rsidRPr="00E439D1">
              <w:rPr>
                <w:bCs/>
                <w:sz w:val="22"/>
                <w:szCs w:val="22"/>
              </w:rPr>
              <w:t xml:space="preserve">, contraindications </w:t>
            </w:r>
            <w:r w:rsidR="00E439D1">
              <w:rPr>
                <w:bCs/>
                <w:sz w:val="22"/>
                <w:szCs w:val="22"/>
              </w:rPr>
              <w:t>and</w:t>
            </w:r>
            <w:r w:rsidR="00E439D1" w:rsidRPr="00E439D1">
              <w:rPr>
                <w:bCs/>
                <w:sz w:val="22"/>
                <w:szCs w:val="22"/>
              </w:rPr>
              <w:t xml:space="preserve"> complications. </w:t>
            </w:r>
            <w:r w:rsidR="0019078A" w:rsidRPr="0019078A">
              <w:rPr>
                <w:bCs/>
                <w:sz w:val="22"/>
                <w:szCs w:val="22"/>
              </w:rPr>
              <w:t xml:space="preserve">Completes insertion to include Trendelenburg position and Seldinger technique and using ultrasound. Confirmation of position </w:t>
            </w:r>
            <w:r w:rsidR="0019078A">
              <w:rPr>
                <w:bCs/>
                <w:sz w:val="22"/>
                <w:szCs w:val="22"/>
              </w:rPr>
              <w:t>–</w:t>
            </w:r>
            <w:r w:rsidR="0019078A" w:rsidRPr="0019078A">
              <w:rPr>
                <w:bCs/>
                <w:sz w:val="22"/>
                <w:szCs w:val="22"/>
              </w:rPr>
              <w:t xml:space="preserve"> review</w:t>
            </w:r>
            <w:r w:rsidR="0019078A">
              <w:rPr>
                <w:bCs/>
                <w:sz w:val="22"/>
                <w:szCs w:val="22"/>
              </w:rPr>
              <w:t>s</w:t>
            </w:r>
            <w:r w:rsidR="0019078A" w:rsidRPr="0019078A">
              <w:rPr>
                <w:bCs/>
                <w:sz w:val="22"/>
                <w:szCs w:val="22"/>
              </w:rPr>
              <w:t xml:space="preserve"> the </w:t>
            </w:r>
            <w:r w:rsidR="0019078A">
              <w:rPr>
                <w:bCs/>
                <w:sz w:val="22"/>
                <w:szCs w:val="22"/>
              </w:rPr>
              <w:t>CXR</w:t>
            </w:r>
            <w:r w:rsidR="0019078A" w:rsidRPr="0019078A">
              <w:rPr>
                <w:bCs/>
                <w:sz w:val="22"/>
                <w:szCs w:val="22"/>
              </w:rPr>
              <w:t xml:space="preserve"> in a systematic way and ensures they have identified the correct legal and clinical aspects. Practitioner should describe the action immediate </w:t>
            </w:r>
            <w:r w:rsidR="0019078A">
              <w:rPr>
                <w:bCs/>
                <w:sz w:val="22"/>
                <w:szCs w:val="22"/>
              </w:rPr>
              <w:t>and</w:t>
            </w:r>
            <w:r w:rsidR="0019078A" w:rsidRPr="0019078A">
              <w:rPr>
                <w:bCs/>
                <w:sz w:val="22"/>
                <w:szCs w:val="22"/>
              </w:rPr>
              <w:t xml:space="preserve"> subsequent if a complication arises.</w:t>
            </w:r>
          </w:p>
          <w:p w14:paraId="66EEFE97" w14:textId="77777777" w:rsidR="0019078A" w:rsidRDefault="0019078A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078A">
              <w:rPr>
                <w:bCs/>
                <w:sz w:val="22"/>
                <w:szCs w:val="22"/>
              </w:rPr>
              <w:t>Practitioner should comment on communication with the multidisciplinary team and the documentation according to the practitioner</w:t>
            </w:r>
            <w:r>
              <w:rPr>
                <w:bCs/>
                <w:sz w:val="22"/>
                <w:szCs w:val="22"/>
              </w:rPr>
              <w:t>’</w:t>
            </w:r>
            <w:r w:rsidRPr="0019078A">
              <w:rPr>
                <w:bCs/>
                <w:sz w:val="22"/>
                <w:szCs w:val="22"/>
              </w:rPr>
              <w:t>s professional body and code of conduct.</w:t>
            </w:r>
          </w:p>
          <w:p w14:paraId="41AD0FCC" w14:textId="20AD3C0C" w:rsidR="002538DC" w:rsidRPr="00841137" w:rsidRDefault="0019078A" w:rsidP="004B336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9078A">
              <w:rPr>
                <w:bCs/>
                <w:sz w:val="22"/>
                <w:szCs w:val="22"/>
              </w:rPr>
              <w:t>Assess</w:t>
            </w:r>
            <w:r>
              <w:rPr>
                <w:bCs/>
                <w:sz w:val="22"/>
                <w:szCs w:val="22"/>
              </w:rPr>
              <w:t>or</w:t>
            </w:r>
            <w:r w:rsidRPr="0019078A">
              <w:rPr>
                <w:bCs/>
                <w:sz w:val="22"/>
                <w:szCs w:val="22"/>
              </w:rPr>
              <w:t xml:space="preserve"> signs to say the practitioner i</w:t>
            </w:r>
            <w:r>
              <w:rPr>
                <w:bCs/>
                <w:sz w:val="22"/>
                <w:szCs w:val="22"/>
              </w:rPr>
              <w:t>s</w:t>
            </w:r>
            <w:r w:rsidRPr="0019078A">
              <w:rPr>
                <w:bCs/>
                <w:sz w:val="22"/>
                <w:szCs w:val="22"/>
              </w:rPr>
              <w:t xml:space="preserve"> competent in insertion and has demonstrated the knowledge associated with the process</w:t>
            </w:r>
            <w:r w:rsidR="00D67511">
              <w:rPr>
                <w:bCs/>
                <w:sz w:val="22"/>
                <w:szCs w:val="22"/>
              </w:rPr>
              <w:t>:</w:t>
            </w:r>
          </w:p>
        </w:tc>
      </w:tr>
      <w:tr w:rsidR="0017606C" w:rsidRPr="005D5C27" w14:paraId="366A0404" w14:textId="77777777" w:rsidTr="00294713">
        <w:tc>
          <w:tcPr>
            <w:tcW w:w="9639" w:type="dxa"/>
            <w:gridSpan w:val="5"/>
          </w:tcPr>
          <w:p w14:paraId="71C1627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2EB591B" w14:textId="3FBF34BC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2556D934" w14:textId="77777777" w:rsidR="00841137" w:rsidRPr="005D5C27" w:rsidRDefault="00841137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12E23B4" w14:textId="77777777" w:rsidR="004B3B50" w:rsidRDefault="004B3B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3A75504" w14:textId="1C3D66BB" w:rsidR="00507994" w:rsidRDefault="0050799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A9AD5F1" w14:textId="210E7FBB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446E21B" w14:textId="77777777" w:rsidR="00E525A4" w:rsidRDefault="00E525A4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1F6424E0" w14:textId="5FE7635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4ADAE2C3" w14:textId="77777777" w:rsidR="00B61350" w:rsidRDefault="00B61350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734E9AB9" w14:textId="77777777" w:rsidR="00047D16" w:rsidRPr="005D5C27" w:rsidRDefault="00047D16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  <w:p w14:paraId="3DB72743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17606C" w:rsidRPr="005D5C27" w14:paraId="315F142A" w14:textId="77777777" w:rsidTr="00294713">
        <w:trPr>
          <w:trHeight w:val="893"/>
        </w:trPr>
        <w:tc>
          <w:tcPr>
            <w:tcW w:w="5807" w:type="dxa"/>
            <w:gridSpan w:val="2"/>
          </w:tcPr>
          <w:p w14:paraId="1C28DCA8" w14:textId="4623EA08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Th</w:t>
            </w:r>
            <w:r w:rsidR="00085463">
              <w:rPr>
                <w:b/>
                <w:bCs/>
                <w:sz w:val="22"/>
                <w:szCs w:val="22"/>
              </w:rPr>
              <w:t>is practitioner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Pr="005D5C27">
              <w:rPr>
                <w:b/>
                <w:bCs/>
                <w:sz w:val="22"/>
                <w:szCs w:val="22"/>
              </w:rPr>
              <w:t>has completed these outcomes to the appropriate standard</w:t>
            </w:r>
            <w:r w:rsidR="00CF303A" w:rsidRPr="005D5C27">
              <w:rPr>
                <w:b/>
                <w:bCs/>
                <w:sz w:val="22"/>
                <w:szCs w:val="22"/>
              </w:rPr>
              <w:t>.</w:t>
            </w:r>
          </w:p>
          <w:p w14:paraId="66A5CC48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BF6B32F" w14:textId="77777777" w:rsidR="00B55040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19AC94A" w14:textId="6E19170C" w:rsidR="0017606C" w:rsidRPr="005D5C27" w:rsidRDefault="00B55040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Assessor’s </w:t>
            </w:r>
            <w:r w:rsidR="00CF303A" w:rsidRPr="005D5C27">
              <w:rPr>
                <w:b/>
                <w:bCs/>
                <w:sz w:val="22"/>
                <w:szCs w:val="22"/>
              </w:rPr>
              <w:t>n</w:t>
            </w:r>
            <w:r w:rsidRPr="005D5C27">
              <w:rPr>
                <w:b/>
                <w:bCs/>
                <w:sz w:val="22"/>
                <w:szCs w:val="22"/>
              </w:rPr>
              <w:t>ame</w:t>
            </w:r>
            <w:r w:rsidR="0017606C" w:rsidRPr="005D5C27">
              <w:rPr>
                <w:b/>
                <w:bCs/>
                <w:sz w:val="22"/>
                <w:szCs w:val="22"/>
              </w:rPr>
              <w:t>:</w:t>
            </w:r>
          </w:p>
          <w:p w14:paraId="2A28DB46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C70D987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78D2F00B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 xml:space="preserve">Signature </w:t>
            </w:r>
            <w:r w:rsidR="00CF303A" w:rsidRPr="005D5C27">
              <w:rPr>
                <w:b/>
                <w:bCs/>
                <w:sz w:val="22"/>
                <w:szCs w:val="22"/>
              </w:rPr>
              <w:t>and d</w:t>
            </w:r>
            <w:r w:rsidRPr="005D5C27">
              <w:rPr>
                <w:b/>
                <w:bCs/>
                <w:sz w:val="22"/>
                <w:szCs w:val="22"/>
              </w:rPr>
              <w:t>ate:</w:t>
            </w:r>
          </w:p>
          <w:p w14:paraId="1056183A" w14:textId="516DB559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2" w:type="dxa"/>
            <w:gridSpan w:val="3"/>
          </w:tcPr>
          <w:p w14:paraId="6DB34EA1" w14:textId="65011C03" w:rsidR="0017606C" w:rsidRPr="005D5C27" w:rsidRDefault="00085463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Practitioner’s</w:t>
            </w:r>
            <w:r w:rsidR="00B55040" w:rsidRPr="005D5C27">
              <w:rPr>
                <w:b/>
                <w:bCs/>
                <w:sz w:val="22"/>
                <w:szCs w:val="22"/>
              </w:rPr>
              <w:t xml:space="preserve"> </w:t>
            </w:r>
            <w:r w:rsidR="00CF303A" w:rsidRPr="005D5C27">
              <w:rPr>
                <w:b/>
                <w:bCs/>
                <w:sz w:val="22"/>
                <w:szCs w:val="22"/>
              </w:rPr>
              <w:t>s</w:t>
            </w:r>
            <w:r w:rsidR="0017606C" w:rsidRPr="005D5C27">
              <w:rPr>
                <w:b/>
                <w:bCs/>
                <w:sz w:val="22"/>
                <w:szCs w:val="22"/>
              </w:rPr>
              <w:t>ignature:</w:t>
            </w:r>
          </w:p>
          <w:p w14:paraId="79F34AB1" w14:textId="05854FC8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66525949" w14:textId="0038371D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07A7151A" w14:textId="77777777" w:rsidR="00CF303A" w:rsidRPr="005D5C27" w:rsidRDefault="00CF303A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12DC5760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A10AC1C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5CA7646B" w14:textId="77777777" w:rsidR="0017606C" w:rsidRPr="005D5C27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45353023" w14:textId="77777777" w:rsidR="0017606C" w:rsidRDefault="0017606C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D5C27">
              <w:rPr>
                <w:b/>
                <w:bCs/>
                <w:sz w:val="22"/>
                <w:szCs w:val="22"/>
              </w:rPr>
              <w:t>Date:</w:t>
            </w:r>
          </w:p>
          <w:p w14:paraId="1CC44A32" w14:textId="4F4FD898" w:rsidR="006E24D9" w:rsidRPr="005D5C27" w:rsidRDefault="006E24D9" w:rsidP="003353A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2A43F1E0" w14:textId="769C95A0" w:rsidR="0017606C" w:rsidRPr="00085463" w:rsidRDefault="0017606C" w:rsidP="00085463">
      <w:pPr>
        <w:pStyle w:val="Title"/>
        <w:jc w:val="left"/>
        <w:rPr>
          <w:sz w:val="16"/>
          <w:szCs w:val="16"/>
          <w:u w:val="none"/>
          <w:lang w:val="en-GB"/>
        </w:rPr>
      </w:pPr>
    </w:p>
    <w:sectPr w:rsidR="0017606C" w:rsidRPr="00085463" w:rsidSect="002538DC"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239D2" w14:textId="77777777" w:rsidR="00241E9C" w:rsidRDefault="00241E9C" w:rsidP="00F20E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3AFE5E2" w14:textId="77777777" w:rsidR="00241E9C" w:rsidRDefault="00241E9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74D9F" w14:textId="77777777" w:rsidR="00241E9C" w:rsidRDefault="00241E9C" w:rsidP="00F20E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C2388C2" w14:textId="77777777" w:rsidR="00241E9C" w:rsidRDefault="00241E9C" w:rsidP="00F20E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A07"/>
    <w:multiLevelType w:val="hybridMultilevel"/>
    <w:tmpl w:val="B3FC6A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6519E"/>
    <w:multiLevelType w:val="hybridMultilevel"/>
    <w:tmpl w:val="0DE671F8"/>
    <w:lvl w:ilvl="0" w:tplc="EB362140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069A66DB"/>
    <w:multiLevelType w:val="hybridMultilevel"/>
    <w:tmpl w:val="568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13516"/>
    <w:multiLevelType w:val="hybridMultilevel"/>
    <w:tmpl w:val="3FA02FBC"/>
    <w:lvl w:ilvl="0" w:tplc="EF02B0A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101E0DC1"/>
    <w:multiLevelType w:val="hybridMultilevel"/>
    <w:tmpl w:val="90602E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C51CB"/>
    <w:multiLevelType w:val="hybridMultilevel"/>
    <w:tmpl w:val="9CCCD9EC"/>
    <w:lvl w:ilvl="0" w:tplc="1A326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6CBA"/>
    <w:multiLevelType w:val="hybridMultilevel"/>
    <w:tmpl w:val="D97AAC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130D08"/>
    <w:multiLevelType w:val="hybridMultilevel"/>
    <w:tmpl w:val="2E0AA7CC"/>
    <w:lvl w:ilvl="0" w:tplc="DA4E7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DB0293C">
      <w:start w:val="1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44C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81C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7F4D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B987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D116E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FA2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6F2D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B06634A"/>
    <w:multiLevelType w:val="hybridMultilevel"/>
    <w:tmpl w:val="8D64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E6F74"/>
    <w:multiLevelType w:val="hybridMultilevel"/>
    <w:tmpl w:val="25B87B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7105A"/>
    <w:multiLevelType w:val="hybridMultilevel"/>
    <w:tmpl w:val="DB329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E3862"/>
    <w:multiLevelType w:val="hybridMultilevel"/>
    <w:tmpl w:val="812AC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0D4173"/>
    <w:multiLevelType w:val="hybridMultilevel"/>
    <w:tmpl w:val="4CA018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A34D6C"/>
    <w:multiLevelType w:val="hybridMultilevel"/>
    <w:tmpl w:val="DA58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209F"/>
    <w:multiLevelType w:val="hybridMultilevel"/>
    <w:tmpl w:val="3D2ADDE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384A4E"/>
    <w:multiLevelType w:val="hybridMultilevel"/>
    <w:tmpl w:val="B8BA30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22BBB"/>
    <w:multiLevelType w:val="hybridMultilevel"/>
    <w:tmpl w:val="E1B8F9E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3631AD0"/>
    <w:multiLevelType w:val="hybridMultilevel"/>
    <w:tmpl w:val="978682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644838"/>
    <w:multiLevelType w:val="hybridMultilevel"/>
    <w:tmpl w:val="A6580D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A73BB"/>
    <w:multiLevelType w:val="hybridMultilevel"/>
    <w:tmpl w:val="19A65D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545666"/>
    <w:multiLevelType w:val="hybridMultilevel"/>
    <w:tmpl w:val="D9A8A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12586A"/>
    <w:multiLevelType w:val="hybridMultilevel"/>
    <w:tmpl w:val="48EE42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272977"/>
    <w:multiLevelType w:val="hybridMultilevel"/>
    <w:tmpl w:val="CE02BD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0E005E"/>
    <w:multiLevelType w:val="hybridMultilevel"/>
    <w:tmpl w:val="6A3AC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23985"/>
    <w:multiLevelType w:val="hybridMultilevel"/>
    <w:tmpl w:val="A300B5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CA0C0F"/>
    <w:multiLevelType w:val="hybridMultilevel"/>
    <w:tmpl w:val="B8E24E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E54EC7"/>
    <w:multiLevelType w:val="hybridMultilevel"/>
    <w:tmpl w:val="CA4686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6BE6456"/>
    <w:multiLevelType w:val="hybridMultilevel"/>
    <w:tmpl w:val="BEBCE20E"/>
    <w:lvl w:ilvl="0" w:tplc="20C8DF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95D93"/>
    <w:multiLevelType w:val="hybridMultilevel"/>
    <w:tmpl w:val="34F05542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AEC2348"/>
    <w:multiLevelType w:val="hybridMultilevel"/>
    <w:tmpl w:val="9246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3703C0"/>
    <w:multiLevelType w:val="hybridMultilevel"/>
    <w:tmpl w:val="399ECA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4E71C6"/>
    <w:multiLevelType w:val="hybridMultilevel"/>
    <w:tmpl w:val="15744E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BC6F64"/>
    <w:multiLevelType w:val="hybridMultilevel"/>
    <w:tmpl w:val="5CAC89BA"/>
    <w:lvl w:ilvl="0" w:tplc="7188F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D3AE4"/>
    <w:multiLevelType w:val="hybridMultilevel"/>
    <w:tmpl w:val="A12EE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DA47DD"/>
    <w:multiLevelType w:val="hybridMultilevel"/>
    <w:tmpl w:val="763EA9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D63028"/>
    <w:multiLevelType w:val="hybridMultilevel"/>
    <w:tmpl w:val="51BE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9"/>
  </w:num>
  <w:num w:numId="4">
    <w:abstractNumId w:val="22"/>
  </w:num>
  <w:num w:numId="5">
    <w:abstractNumId w:val="20"/>
  </w:num>
  <w:num w:numId="6">
    <w:abstractNumId w:val="25"/>
  </w:num>
  <w:num w:numId="7">
    <w:abstractNumId w:val="15"/>
  </w:num>
  <w:num w:numId="8">
    <w:abstractNumId w:val="14"/>
  </w:num>
  <w:num w:numId="9">
    <w:abstractNumId w:val="26"/>
  </w:num>
  <w:num w:numId="10">
    <w:abstractNumId w:val="6"/>
  </w:num>
  <w:num w:numId="11">
    <w:abstractNumId w:val="24"/>
  </w:num>
  <w:num w:numId="12">
    <w:abstractNumId w:val="34"/>
  </w:num>
  <w:num w:numId="13">
    <w:abstractNumId w:val="17"/>
  </w:num>
  <w:num w:numId="14">
    <w:abstractNumId w:val="31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8"/>
  </w:num>
  <w:num w:numId="20">
    <w:abstractNumId w:val="27"/>
  </w:num>
  <w:num w:numId="21">
    <w:abstractNumId w:val="2"/>
  </w:num>
  <w:num w:numId="22">
    <w:abstractNumId w:val="5"/>
  </w:num>
  <w:num w:numId="23">
    <w:abstractNumId w:val="0"/>
  </w:num>
  <w:num w:numId="24">
    <w:abstractNumId w:val="23"/>
  </w:num>
  <w:num w:numId="25">
    <w:abstractNumId w:val="21"/>
  </w:num>
  <w:num w:numId="26">
    <w:abstractNumId w:val="30"/>
  </w:num>
  <w:num w:numId="27">
    <w:abstractNumId w:val="1"/>
  </w:num>
  <w:num w:numId="28">
    <w:abstractNumId w:val="28"/>
  </w:num>
  <w:num w:numId="29">
    <w:abstractNumId w:val="3"/>
  </w:num>
  <w:num w:numId="30">
    <w:abstractNumId w:val="32"/>
  </w:num>
  <w:num w:numId="31">
    <w:abstractNumId w:val="16"/>
  </w:num>
  <w:num w:numId="32">
    <w:abstractNumId w:val="35"/>
  </w:num>
  <w:num w:numId="33">
    <w:abstractNumId w:val="13"/>
  </w:num>
  <w:num w:numId="34">
    <w:abstractNumId w:val="19"/>
  </w:num>
  <w:num w:numId="35">
    <w:abstractNumId w:val="18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457"/>
    <w:rsid w:val="00002CD3"/>
    <w:rsid w:val="00012CAA"/>
    <w:rsid w:val="000143D8"/>
    <w:rsid w:val="000405A4"/>
    <w:rsid w:val="00047D16"/>
    <w:rsid w:val="000634C4"/>
    <w:rsid w:val="000673C5"/>
    <w:rsid w:val="000762BA"/>
    <w:rsid w:val="00085463"/>
    <w:rsid w:val="00085FEA"/>
    <w:rsid w:val="00095753"/>
    <w:rsid w:val="000A1CF5"/>
    <w:rsid w:val="000E22A6"/>
    <w:rsid w:val="000F6924"/>
    <w:rsid w:val="00102D70"/>
    <w:rsid w:val="0010380D"/>
    <w:rsid w:val="0013642C"/>
    <w:rsid w:val="001372FB"/>
    <w:rsid w:val="0017606C"/>
    <w:rsid w:val="001858E8"/>
    <w:rsid w:val="00186DD0"/>
    <w:rsid w:val="0019078A"/>
    <w:rsid w:val="00193E2A"/>
    <w:rsid w:val="001A7B0C"/>
    <w:rsid w:val="001B3F23"/>
    <w:rsid w:val="001D21FB"/>
    <w:rsid w:val="00213497"/>
    <w:rsid w:val="00237956"/>
    <w:rsid w:val="00241E9C"/>
    <w:rsid w:val="002538DC"/>
    <w:rsid w:val="00260973"/>
    <w:rsid w:val="00271B03"/>
    <w:rsid w:val="00294713"/>
    <w:rsid w:val="002A468B"/>
    <w:rsid w:val="002A7793"/>
    <w:rsid w:val="002B0015"/>
    <w:rsid w:val="002B0889"/>
    <w:rsid w:val="002E24CA"/>
    <w:rsid w:val="002E6602"/>
    <w:rsid w:val="003150AB"/>
    <w:rsid w:val="003353A4"/>
    <w:rsid w:val="00347957"/>
    <w:rsid w:val="003538DD"/>
    <w:rsid w:val="00363F4A"/>
    <w:rsid w:val="00367FE7"/>
    <w:rsid w:val="003A5FA8"/>
    <w:rsid w:val="003A62E9"/>
    <w:rsid w:val="003C1567"/>
    <w:rsid w:val="003D08B9"/>
    <w:rsid w:val="003F220F"/>
    <w:rsid w:val="00414ECB"/>
    <w:rsid w:val="00423CAA"/>
    <w:rsid w:val="00427DE8"/>
    <w:rsid w:val="00450524"/>
    <w:rsid w:val="004522B9"/>
    <w:rsid w:val="004551B6"/>
    <w:rsid w:val="004846E0"/>
    <w:rsid w:val="00497312"/>
    <w:rsid w:val="004A1851"/>
    <w:rsid w:val="004B336B"/>
    <w:rsid w:val="004B3B50"/>
    <w:rsid w:val="004B532B"/>
    <w:rsid w:val="004B7D0A"/>
    <w:rsid w:val="004E5162"/>
    <w:rsid w:val="00503AAA"/>
    <w:rsid w:val="00507994"/>
    <w:rsid w:val="00512FB0"/>
    <w:rsid w:val="0052749A"/>
    <w:rsid w:val="005338D8"/>
    <w:rsid w:val="0053417C"/>
    <w:rsid w:val="005409E3"/>
    <w:rsid w:val="005738B2"/>
    <w:rsid w:val="00577B81"/>
    <w:rsid w:val="005A10D9"/>
    <w:rsid w:val="005A32B3"/>
    <w:rsid w:val="005B599B"/>
    <w:rsid w:val="005C3449"/>
    <w:rsid w:val="005D5C27"/>
    <w:rsid w:val="005D6FCB"/>
    <w:rsid w:val="005E62E5"/>
    <w:rsid w:val="005F1529"/>
    <w:rsid w:val="005F453D"/>
    <w:rsid w:val="00602898"/>
    <w:rsid w:val="00647C38"/>
    <w:rsid w:val="006676AA"/>
    <w:rsid w:val="00673440"/>
    <w:rsid w:val="006924FB"/>
    <w:rsid w:val="006D0B61"/>
    <w:rsid w:val="006D0BE7"/>
    <w:rsid w:val="006D5123"/>
    <w:rsid w:val="006D78BE"/>
    <w:rsid w:val="006E24D9"/>
    <w:rsid w:val="00720EC0"/>
    <w:rsid w:val="00721A51"/>
    <w:rsid w:val="00723028"/>
    <w:rsid w:val="007620C1"/>
    <w:rsid w:val="007660E9"/>
    <w:rsid w:val="0077203D"/>
    <w:rsid w:val="007834CE"/>
    <w:rsid w:val="007940B2"/>
    <w:rsid w:val="007A682D"/>
    <w:rsid w:val="007C781B"/>
    <w:rsid w:val="0080478B"/>
    <w:rsid w:val="00816EF9"/>
    <w:rsid w:val="0083578D"/>
    <w:rsid w:val="00837A89"/>
    <w:rsid w:val="00841137"/>
    <w:rsid w:val="0086226E"/>
    <w:rsid w:val="008A61EF"/>
    <w:rsid w:val="008F1276"/>
    <w:rsid w:val="008F278A"/>
    <w:rsid w:val="00944E27"/>
    <w:rsid w:val="00957A0A"/>
    <w:rsid w:val="00962446"/>
    <w:rsid w:val="00967D77"/>
    <w:rsid w:val="00976638"/>
    <w:rsid w:val="009A3E78"/>
    <w:rsid w:val="00A0060A"/>
    <w:rsid w:val="00A24968"/>
    <w:rsid w:val="00A374EF"/>
    <w:rsid w:val="00A8643A"/>
    <w:rsid w:val="00AF5410"/>
    <w:rsid w:val="00B126C1"/>
    <w:rsid w:val="00B13731"/>
    <w:rsid w:val="00B21CA3"/>
    <w:rsid w:val="00B24F99"/>
    <w:rsid w:val="00B34FEF"/>
    <w:rsid w:val="00B36C8F"/>
    <w:rsid w:val="00B55040"/>
    <w:rsid w:val="00B61350"/>
    <w:rsid w:val="00B638BB"/>
    <w:rsid w:val="00B74ABA"/>
    <w:rsid w:val="00B7695B"/>
    <w:rsid w:val="00B86B9A"/>
    <w:rsid w:val="00B877AC"/>
    <w:rsid w:val="00B90BAD"/>
    <w:rsid w:val="00BA54BE"/>
    <w:rsid w:val="00BD1367"/>
    <w:rsid w:val="00BD396C"/>
    <w:rsid w:val="00BD541A"/>
    <w:rsid w:val="00BF5510"/>
    <w:rsid w:val="00C1364E"/>
    <w:rsid w:val="00C21424"/>
    <w:rsid w:val="00C2709C"/>
    <w:rsid w:val="00C33CF7"/>
    <w:rsid w:val="00C4020E"/>
    <w:rsid w:val="00C65E5F"/>
    <w:rsid w:val="00C93769"/>
    <w:rsid w:val="00CA54F2"/>
    <w:rsid w:val="00CA7E2D"/>
    <w:rsid w:val="00CB1FD6"/>
    <w:rsid w:val="00CC3204"/>
    <w:rsid w:val="00CC59ED"/>
    <w:rsid w:val="00CC7B8B"/>
    <w:rsid w:val="00CF303A"/>
    <w:rsid w:val="00CF7A1C"/>
    <w:rsid w:val="00D073C7"/>
    <w:rsid w:val="00D331F6"/>
    <w:rsid w:val="00D5008B"/>
    <w:rsid w:val="00D6141C"/>
    <w:rsid w:val="00D67511"/>
    <w:rsid w:val="00D82749"/>
    <w:rsid w:val="00D85FEE"/>
    <w:rsid w:val="00D86E9C"/>
    <w:rsid w:val="00DB67BE"/>
    <w:rsid w:val="00DB737D"/>
    <w:rsid w:val="00DD2457"/>
    <w:rsid w:val="00DD28FE"/>
    <w:rsid w:val="00DD3F46"/>
    <w:rsid w:val="00DE379C"/>
    <w:rsid w:val="00DF0DE3"/>
    <w:rsid w:val="00E040A9"/>
    <w:rsid w:val="00E40AF1"/>
    <w:rsid w:val="00E439D1"/>
    <w:rsid w:val="00E525A4"/>
    <w:rsid w:val="00E57BE6"/>
    <w:rsid w:val="00E67434"/>
    <w:rsid w:val="00E70C03"/>
    <w:rsid w:val="00E81C9D"/>
    <w:rsid w:val="00E97237"/>
    <w:rsid w:val="00EB3D3E"/>
    <w:rsid w:val="00F20E5D"/>
    <w:rsid w:val="00F21C6B"/>
    <w:rsid w:val="00F31E93"/>
    <w:rsid w:val="00F44826"/>
    <w:rsid w:val="00F45027"/>
    <w:rsid w:val="00F52E61"/>
    <w:rsid w:val="00F57BE1"/>
    <w:rsid w:val="00F70030"/>
    <w:rsid w:val="00F7498B"/>
    <w:rsid w:val="00F8741F"/>
    <w:rsid w:val="00FB37F2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81D46"/>
  <w15:docId w15:val="{0C6FE025-31D4-4957-809E-653BB9C4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0"/>
    </w:pPr>
    <w:rPr>
      <w:b/>
      <w:bCs/>
      <w:color w:val="000000"/>
      <w:sz w:val="22"/>
      <w:szCs w:val="22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2457"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00"/>
      <w:sz w:val="18"/>
      <w:szCs w:val="1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Title">
    <w:name w:val="Title"/>
    <w:basedOn w:val="Normal"/>
    <w:link w:val="TitleChar"/>
    <w:uiPriority w:val="99"/>
    <w:qFormat/>
    <w:rsid w:val="00DD2457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2"/>
      <w:szCs w:val="22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rsid w:val="00DD2457"/>
    <w:rPr>
      <w:rFonts w:ascii="Arial" w:hAnsi="Arial" w:cs="Arial"/>
      <w:b/>
      <w:bCs/>
      <w:color w:val="000000"/>
      <w:sz w:val="20"/>
      <w:szCs w:val="20"/>
      <w:u w:val="single"/>
      <w:lang w:val="en-US" w:eastAsia="en-GB"/>
    </w:rPr>
  </w:style>
  <w:style w:type="paragraph" w:styleId="BodyText2">
    <w:name w:val="Body Text 2"/>
    <w:basedOn w:val="Normal"/>
    <w:link w:val="BodyText2Char"/>
    <w:uiPriority w:val="99"/>
    <w:rsid w:val="00DD2457"/>
    <w:pPr>
      <w:widowControl w:val="0"/>
      <w:autoSpaceDE w:val="0"/>
      <w:autoSpaceDN w:val="0"/>
      <w:adjustRightInd w:val="0"/>
    </w:pPr>
    <w:rPr>
      <w:b/>
      <w:bCs/>
      <w:color w:val="000000"/>
      <w:sz w:val="18"/>
      <w:szCs w:val="18"/>
      <w:lang w:val="en-US"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DD2457"/>
    <w:rPr>
      <w:rFonts w:ascii="Arial" w:hAnsi="Arial" w:cs="Arial"/>
      <w:b/>
      <w:bCs/>
      <w:color w:val="000000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rsid w:val="00F20E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E5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F20E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5D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00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638"/>
    <w:rPr>
      <w:rFonts w:ascii="Arial" w:eastAsia="Times New Roman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638"/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ames\AppData\Roaming\Microsoft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C:\Users\James\AppData\Roaming\Microsoft\Templates\Blank.dotx</Template>
  <TotalTime>22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UHB NHS Foundation Trust - Assessment of competencies for Preoperative Nurses</vt:lpstr>
    </vt:vector>
  </TitlesOfParts>
  <Company>Brighton &amp; Sussex University Hospitals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UHB NHS Foundation Trust - Assessment of competencies for Preoperative Nurses</dc:title>
  <dc:creator>James</dc:creator>
  <cp:lastModifiedBy>Microsoft Office User</cp:lastModifiedBy>
  <cp:revision>8</cp:revision>
  <cp:lastPrinted>2010-04-13T13:16:00Z</cp:lastPrinted>
  <dcterms:created xsi:type="dcterms:W3CDTF">2021-04-22T09:14:00Z</dcterms:created>
  <dcterms:modified xsi:type="dcterms:W3CDTF">2021-05-24T14:00:00Z</dcterms:modified>
</cp:coreProperties>
</file>